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tang</w:t>
      </w:r>
      <w:r>
        <w:rPr>
          <w:rStyle w:val="a0"/>
          <w:rFonts w:ascii="Arial" w:hAnsi="Arial"/>
          <w:sz w:val="21"/>
        </w:rPr>
        <w:t xml:space="preserve"> 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 xml:space="preserve">copyright on the software, and (2) offer you this License giving you legal permission to copy, distribute and/or </w:t>
      </w:r>
      <w:r>
        <w:rPr>
          <w:rStyle w:val="a0"/>
          <w:rFonts w:ascii="Arial" w:hAnsi="Arial"/>
          <w:sz w:val="20"/>
        </w:rPr>
        <w:t>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2018 Red Hat, Inc. Author: Marius Vollmer &lt;marius.vollmer@redhat.com&gt;</w:t>
      </w:r>
    </w:p>
    <w:p>
      <w:pPr>
        <w:spacing w:line="420" w:lineRule="exact"/>
      </w:pPr>
      <w:r>
        <w:rPr>
          <w:rStyle w:val="a0"/>
          <w:rFonts w:ascii="Arial" w:hAnsi="Arial"/>
          <w:sz w:val="20"/>
        </w:rPr>
        <w:t>Copyright (c) 2016 Red Hat, Inc. Author: Nathaniel McCallum &lt;npmccallum@redhat.com&gt;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